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2F6BD6" w14:textId="08F80FF3" w:rsidR="0059687C" w:rsidRDefault="0059687C" w:rsidP="0059687C">
      <w:pPr>
        <w:spacing w:line="480" w:lineRule="auto"/>
        <w:ind w:firstLine="720"/>
        <w:rPr>
          <w:rFonts w:ascii="Times New Roman" w:hAnsi="Times New Roman" w:cs="Times New Roman"/>
          <w:sz w:val="24"/>
          <w:szCs w:val="24"/>
        </w:rPr>
      </w:pPr>
    </w:p>
    <w:p w14:paraId="2F889D31" w14:textId="27033852" w:rsidR="0059687C" w:rsidRDefault="0059687C" w:rsidP="0059687C">
      <w:pPr>
        <w:spacing w:line="480" w:lineRule="auto"/>
        <w:ind w:firstLine="720"/>
        <w:rPr>
          <w:rFonts w:ascii="Times New Roman" w:hAnsi="Times New Roman" w:cs="Times New Roman"/>
          <w:sz w:val="24"/>
          <w:szCs w:val="24"/>
        </w:rPr>
      </w:pPr>
    </w:p>
    <w:p w14:paraId="41945B42" w14:textId="737DD907" w:rsidR="0059687C" w:rsidRDefault="0059687C" w:rsidP="0059687C">
      <w:pPr>
        <w:spacing w:line="480" w:lineRule="auto"/>
        <w:ind w:firstLine="720"/>
        <w:rPr>
          <w:rFonts w:ascii="Times New Roman" w:hAnsi="Times New Roman" w:cs="Times New Roman"/>
          <w:sz w:val="24"/>
          <w:szCs w:val="24"/>
        </w:rPr>
      </w:pPr>
    </w:p>
    <w:p w14:paraId="3DFBCA85" w14:textId="77777777" w:rsidR="0059687C" w:rsidRDefault="0059687C" w:rsidP="0059687C">
      <w:pPr>
        <w:spacing w:line="480" w:lineRule="auto"/>
        <w:ind w:firstLine="720"/>
        <w:rPr>
          <w:rFonts w:ascii="Times New Roman" w:hAnsi="Times New Roman" w:cs="Times New Roman"/>
          <w:sz w:val="24"/>
          <w:szCs w:val="24"/>
        </w:rPr>
      </w:pPr>
    </w:p>
    <w:p w14:paraId="11FD6BF2" w14:textId="5498E78E" w:rsidR="0059687C" w:rsidRDefault="0059687C" w:rsidP="0059687C">
      <w:pPr>
        <w:spacing w:line="480" w:lineRule="auto"/>
        <w:ind w:firstLine="720"/>
        <w:jc w:val="center"/>
        <w:rPr>
          <w:rFonts w:ascii="Times New Roman" w:hAnsi="Times New Roman" w:cs="Times New Roman"/>
          <w:sz w:val="24"/>
          <w:szCs w:val="24"/>
        </w:rPr>
      </w:pPr>
      <w:r w:rsidRPr="0059687C">
        <w:rPr>
          <w:rFonts w:ascii="Times New Roman" w:hAnsi="Times New Roman" w:cs="Times New Roman"/>
          <w:sz w:val="24"/>
          <w:szCs w:val="24"/>
        </w:rPr>
        <w:t>Universal Healthcare Services, Inc.</w:t>
      </w:r>
    </w:p>
    <w:p w14:paraId="34F82A8C" w14:textId="77777777" w:rsidR="0059687C" w:rsidRPr="0059687C" w:rsidRDefault="0059687C" w:rsidP="0059687C">
      <w:pPr>
        <w:spacing w:line="480" w:lineRule="auto"/>
        <w:ind w:firstLine="720"/>
        <w:jc w:val="center"/>
        <w:rPr>
          <w:rFonts w:ascii="Times New Roman" w:hAnsi="Times New Roman" w:cs="Times New Roman"/>
          <w:sz w:val="24"/>
          <w:szCs w:val="24"/>
        </w:rPr>
      </w:pPr>
      <w:r w:rsidRPr="0059687C">
        <w:rPr>
          <w:rFonts w:ascii="Times New Roman" w:hAnsi="Times New Roman" w:cs="Times New Roman"/>
          <w:sz w:val="24"/>
          <w:szCs w:val="24"/>
        </w:rPr>
        <w:t>Student’s name</w:t>
      </w:r>
    </w:p>
    <w:p w14:paraId="2F850DB5" w14:textId="77777777" w:rsidR="0059687C" w:rsidRPr="0059687C" w:rsidRDefault="0059687C" w:rsidP="0059687C">
      <w:pPr>
        <w:spacing w:line="480" w:lineRule="auto"/>
        <w:ind w:firstLine="720"/>
        <w:jc w:val="center"/>
        <w:rPr>
          <w:rFonts w:ascii="Times New Roman" w:hAnsi="Times New Roman" w:cs="Times New Roman"/>
          <w:sz w:val="24"/>
          <w:szCs w:val="24"/>
        </w:rPr>
      </w:pPr>
      <w:r w:rsidRPr="0059687C">
        <w:rPr>
          <w:rFonts w:ascii="Times New Roman" w:hAnsi="Times New Roman" w:cs="Times New Roman"/>
          <w:sz w:val="24"/>
          <w:szCs w:val="24"/>
        </w:rPr>
        <w:t>Institutional affiliation</w:t>
      </w:r>
    </w:p>
    <w:p w14:paraId="1E6BB238" w14:textId="77777777" w:rsidR="0059687C" w:rsidRPr="0059687C" w:rsidRDefault="0059687C" w:rsidP="0059687C">
      <w:pPr>
        <w:spacing w:line="480" w:lineRule="auto"/>
        <w:ind w:firstLine="720"/>
        <w:jc w:val="center"/>
        <w:rPr>
          <w:rFonts w:ascii="Times New Roman" w:hAnsi="Times New Roman" w:cs="Times New Roman"/>
          <w:sz w:val="24"/>
          <w:szCs w:val="24"/>
        </w:rPr>
      </w:pPr>
      <w:r w:rsidRPr="0059687C">
        <w:rPr>
          <w:rFonts w:ascii="Times New Roman" w:hAnsi="Times New Roman" w:cs="Times New Roman"/>
          <w:sz w:val="24"/>
          <w:szCs w:val="24"/>
        </w:rPr>
        <w:t>Course-title</w:t>
      </w:r>
    </w:p>
    <w:p w14:paraId="2751994C" w14:textId="24A0E38A" w:rsidR="0059687C" w:rsidRDefault="0059687C" w:rsidP="0059687C">
      <w:pPr>
        <w:spacing w:line="480" w:lineRule="auto"/>
        <w:ind w:firstLine="720"/>
        <w:jc w:val="center"/>
        <w:rPr>
          <w:rFonts w:ascii="Times New Roman" w:hAnsi="Times New Roman" w:cs="Times New Roman"/>
          <w:sz w:val="24"/>
          <w:szCs w:val="24"/>
        </w:rPr>
      </w:pPr>
      <w:r w:rsidRPr="0059687C">
        <w:rPr>
          <w:rFonts w:ascii="Times New Roman" w:hAnsi="Times New Roman" w:cs="Times New Roman"/>
          <w:sz w:val="24"/>
          <w:szCs w:val="24"/>
        </w:rPr>
        <w:t>Course code</w:t>
      </w:r>
    </w:p>
    <w:p w14:paraId="4D598E12" w14:textId="77777777" w:rsidR="0059687C" w:rsidRDefault="0059687C" w:rsidP="0059687C">
      <w:pPr>
        <w:spacing w:line="480" w:lineRule="auto"/>
        <w:ind w:firstLine="720"/>
        <w:rPr>
          <w:rFonts w:ascii="Times New Roman" w:hAnsi="Times New Roman" w:cs="Times New Roman"/>
          <w:sz w:val="24"/>
          <w:szCs w:val="24"/>
        </w:rPr>
      </w:pPr>
    </w:p>
    <w:p w14:paraId="08008850" w14:textId="77777777" w:rsidR="0059687C" w:rsidRDefault="0059687C" w:rsidP="0059687C">
      <w:pPr>
        <w:spacing w:line="480" w:lineRule="auto"/>
        <w:ind w:firstLine="720"/>
        <w:rPr>
          <w:rFonts w:ascii="Times New Roman" w:hAnsi="Times New Roman" w:cs="Times New Roman"/>
          <w:sz w:val="24"/>
          <w:szCs w:val="24"/>
        </w:rPr>
      </w:pPr>
    </w:p>
    <w:p w14:paraId="42A1B114" w14:textId="77777777" w:rsidR="0059687C" w:rsidRDefault="0059687C" w:rsidP="0059687C">
      <w:pPr>
        <w:spacing w:line="480" w:lineRule="auto"/>
        <w:ind w:firstLine="720"/>
        <w:rPr>
          <w:rFonts w:ascii="Times New Roman" w:hAnsi="Times New Roman" w:cs="Times New Roman"/>
          <w:sz w:val="24"/>
          <w:szCs w:val="24"/>
        </w:rPr>
      </w:pPr>
    </w:p>
    <w:p w14:paraId="0BF9D0D8" w14:textId="77777777" w:rsidR="0059687C" w:rsidRDefault="0059687C" w:rsidP="0059687C">
      <w:pPr>
        <w:spacing w:line="480" w:lineRule="auto"/>
        <w:ind w:firstLine="720"/>
        <w:rPr>
          <w:rFonts w:ascii="Times New Roman" w:hAnsi="Times New Roman" w:cs="Times New Roman"/>
          <w:sz w:val="24"/>
          <w:szCs w:val="24"/>
        </w:rPr>
      </w:pPr>
    </w:p>
    <w:p w14:paraId="2FFB9BE6" w14:textId="77777777" w:rsidR="0059687C" w:rsidRDefault="0059687C" w:rsidP="0059687C">
      <w:pPr>
        <w:spacing w:line="480" w:lineRule="auto"/>
        <w:ind w:firstLine="720"/>
        <w:rPr>
          <w:rFonts w:ascii="Times New Roman" w:hAnsi="Times New Roman" w:cs="Times New Roman"/>
          <w:sz w:val="24"/>
          <w:szCs w:val="24"/>
        </w:rPr>
      </w:pPr>
    </w:p>
    <w:p w14:paraId="12B5E6BB" w14:textId="77777777" w:rsidR="0059687C" w:rsidRDefault="0059687C" w:rsidP="0059687C">
      <w:pPr>
        <w:spacing w:line="480" w:lineRule="auto"/>
        <w:ind w:firstLine="720"/>
        <w:rPr>
          <w:rFonts w:ascii="Times New Roman" w:hAnsi="Times New Roman" w:cs="Times New Roman"/>
          <w:sz w:val="24"/>
          <w:szCs w:val="24"/>
        </w:rPr>
      </w:pPr>
    </w:p>
    <w:p w14:paraId="1B61C8C8" w14:textId="77777777" w:rsidR="0059687C" w:rsidRDefault="0059687C" w:rsidP="0059687C">
      <w:pPr>
        <w:spacing w:line="480" w:lineRule="auto"/>
        <w:ind w:firstLine="720"/>
        <w:rPr>
          <w:rFonts w:ascii="Times New Roman" w:hAnsi="Times New Roman" w:cs="Times New Roman"/>
          <w:sz w:val="24"/>
          <w:szCs w:val="24"/>
        </w:rPr>
      </w:pPr>
    </w:p>
    <w:p w14:paraId="3B5F81CB" w14:textId="77777777" w:rsidR="0059687C" w:rsidRDefault="0059687C" w:rsidP="0059687C">
      <w:pPr>
        <w:spacing w:line="480" w:lineRule="auto"/>
        <w:ind w:firstLine="720"/>
        <w:rPr>
          <w:rFonts w:ascii="Times New Roman" w:hAnsi="Times New Roman" w:cs="Times New Roman"/>
          <w:sz w:val="24"/>
          <w:szCs w:val="24"/>
        </w:rPr>
      </w:pPr>
    </w:p>
    <w:p w14:paraId="7D40861F" w14:textId="77777777" w:rsidR="0059687C" w:rsidRDefault="0059687C" w:rsidP="0059687C">
      <w:pPr>
        <w:spacing w:line="480" w:lineRule="auto"/>
        <w:rPr>
          <w:rFonts w:ascii="Times New Roman" w:hAnsi="Times New Roman" w:cs="Times New Roman"/>
          <w:sz w:val="24"/>
          <w:szCs w:val="24"/>
        </w:rPr>
      </w:pPr>
    </w:p>
    <w:p w14:paraId="48C730B6" w14:textId="2FE19C93" w:rsidR="006D2651" w:rsidRPr="0059687C" w:rsidRDefault="00F21A57" w:rsidP="0059687C">
      <w:pPr>
        <w:spacing w:line="480" w:lineRule="auto"/>
        <w:ind w:firstLine="720"/>
        <w:rPr>
          <w:rFonts w:ascii="Times New Roman" w:hAnsi="Times New Roman" w:cs="Times New Roman"/>
          <w:sz w:val="24"/>
          <w:szCs w:val="24"/>
        </w:rPr>
      </w:pPr>
      <w:r w:rsidRPr="0059687C">
        <w:rPr>
          <w:rFonts w:ascii="Times New Roman" w:hAnsi="Times New Roman" w:cs="Times New Roman"/>
          <w:sz w:val="24"/>
          <w:szCs w:val="24"/>
        </w:rPr>
        <w:lastRenderedPageBreak/>
        <w:t>Universal Health</w:t>
      </w:r>
      <w:r w:rsidR="0059687C">
        <w:rPr>
          <w:rFonts w:ascii="Times New Roman" w:hAnsi="Times New Roman" w:cs="Times New Roman"/>
          <w:sz w:val="24"/>
          <w:szCs w:val="24"/>
        </w:rPr>
        <w:t>care</w:t>
      </w:r>
      <w:r w:rsidRPr="0059687C">
        <w:rPr>
          <w:rFonts w:ascii="Times New Roman" w:hAnsi="Times New Roman" w:cs="Times New Roman"/>
          <w:sz w:val="24"/>
          <w:szCs w:val="24"/>
        </w:rPr>
        <w:t xml:space="preserve"> Services, Inc is a company that deals with healthcare management. The company operates behavioral health centers, acute care hospitals, as well as centers for surgery. Universal healthcare deals with the provision of services such as inter</w:t>
      </w:r>
      <w:r w:rsidRPr="0059687C">
        <w:rPr>
          <w:rFonts w:ascii="Times New Roman" w:hAnsi="Times New Roman" w:cs="Times New Roman"/>
          <w:sz w:val="24"/>
          <w:szCs w:val="24"/>
        </w:rPr>
        <w:t>nal medicine, pediatric, and radiology services throughout Puerto Rico and the United States. As attributed in the 2019 annual report, the company has several revenue sources that have resulted in an increase in the net revenues and incomes generally. Some</w:t>
      </w:r>
      <w:r w:rsidRPr="0059687C">
        <w:rPr>
          <w:rFonts w:ascii="Times New Roman" w:hAnsi="Times New Roman" w:cs="Times New Roman"/>
          <w:sz w:val="24"/>
          <w:szCs w:val="24"/>
        </w:rPr>
        <w:t xml:space="preserve"> of these sources include </w:t>
      </w:r>
      <w:r w:rsidR="005B3ED6" w:rsidRPr="0059687C">
        <w:rPr>
          <w:rFonts w:ascii="Times New Roman" w:hAnsi="Times New Roman" w:cs="Times New Roman"/>
          <w:sz w:val="24"/>
          <w:szCs w:val="24"/>
        </w:rPr>
        <w:t>a pre-tax that resulted in an unrealized gain of $15 in every diluted share. Other incomes result from an increase in the share market value of particular marketable securities classified available for sale and investment. The sale and investment of these shares, which already increase the market value, considerably generate revenue for the company.</w:t>
      </w:r>
      <w:r w:rsidR="001605AA" w:rsidRPr="0059687C">
        <w:rPr>
          <w:rFonts w:ascii="Times New Roman" w:hAnsi="Times New Roman" w:cs="Times New Roman"/>
          <w:sz w:val="24"/>
          <w:szCs w:val="24"/>
        </w:rPr>
        <w:t xml:space="preserve"> Additionally, the company enjoys service payments from the private insurers, including the federal governments, which are under the program of Medicare and the managed care plans, state governments under their specific Medicaid </w:t>
      </w:r>
      <w:r w:rsidR="001E5045" w:rsidRPr="0059687C">
        <w:rPr>
          <w:rFonts w:ascii="Times New Roman" w:hAnsi="Times New Roman" w:cs="Times New Roman"/>
          <w:sz w:val="24"/>
          <w:szCs w:val="24"/>
        </w:rPr>
        <w:t>strategies as well as patients' direct payments.</w:t>
      </w:r>
    </w:p>
    <w:p w14:paraId="36215217" w14:textId="5732E610" w:rsidR="007462E5" w:rsidRPr="0059687C" w:rsidRDefault="00F21A57" w:rsidP="0059687C">
      <w:pPr>
        <w:spacing w:line="480" w:lineRule="auto"/>
        <w:ind w:firstLine="720"/>
        <w:rPr>
          <w:rFonts w:ascii="Times New Roman" w:hAnsi="Times New Roman" w:cs="Times New Roman"/>
          <w:sz w:val="24"/>
          <w:szCs w:val="24"/>
        </w:rPr>
      </w:pPr>
      <w:r w:rsidRPr="0059687C">
        <w:rPr>
          <w:rFonts w:ascii="Times New Roman" w:hAnsi="Times New Roman" w:cs="Times New Roman"/>
          <w:sz w:val="24"/>
          <w:szCs w:val="24"/>
        </w:rPr>
        <w:t xml:space="preserve">Non-financial items refer to items that derive their values from character traits. Examples include vehicles and </w:t>
      </w:r>
      <w:r w:rsidRPr="0059687C">
        <w:rPr>
          <w:rFonts w:ascii="Times New Roman" w:hAnsi="Times New Roman" w:cs="Times New Roman"/>
          <w:sz w:val="24"/>
          <w:szCs w:val="24"/>
        </w:rPr>
        <w:t>real estate. Also, it includes all the intellectual properties like trademarks and patents. Universal Healthcare Services Inc also poses various stati</w:t>
      </w:r>
      <w:r w:rsidR="00DD55D7" w:rsidRPr="0059687C">
        <w:rPr>
          <w:rFonts w:ascii="Times New Roman" w:hAnsi="Times New Roman" w:cs="Times New Roman"/>
          <w:sz w:val="24"/>
          <w:szCs w:val="24"/>
        </w:rPr>
        <w:t>sti</w:t>
      </w:r>
      <w:r w:rsidRPr="0059687C">
        <w:rPr>
          <w:rFonts w:ascii="Times New Roman" w:hAnsi="Times New Roman" w:cs="Times New Roman"/>
          <w:sz w:val="24"/>
          <w:szCs w:val="24"/>
        </w:rPr>
        <w:t xml:space="preserve">cal or non-financial items such as </w:t>
      </w:r>
      <w:r w:rsidR="00290CA3" w:rsidRPr="0059687C">
        <w:rPr>
          <w:rFonts w:ascii="Times New Roman" w:hAnsi="Times New Roman" w:cs="Times New Roman"/>
          <w:sz w:val="24"/>
          <w:szCs w:val="24"/>
        </w:rPr>
        <w:t>the operating Metric</w:t>
      </w:r>
      <w:r w:rsidR="0059687C">
        <w:rPr>
          <w:rFonts w:ascii="Times New Roman" w:hAnsi="Times New Roman" w:cs="Times New Roman"/>
          <w:sz w:val="24"/>
          <w:szCs w:val="24"/>
        </w:rPr>
        <w:t xml:space="preserve"> </w:t>
      </w:r>
      <w:r w:rsidR="00290CA3" w:rsidRPr="0059687C">
        <w:rPr>
          <w:rFonts w:ascii="Times New Roman" w:hAnsi="Times New Roman" w:cs="Times New Roman"/>
          <w:sz w:val="24"/>
          <w:szCs w:val="24"/>
        </w:rPr>
        <w:t>(NFM). Additionally, there is the Average duration of stay-Acute care hospitals</w:t>
      </w:r>
      <w:r w:rsidR="00DD55D7" w:rsidRPr="0059687C">
        <w:rPr>
          <w:rFonts w:ascii="Times New Roman" w:hAnsi="Times New Roman" w:cs="Times New Roman"/>
          <w:sz w:val="24"/>
          <w:szCs w:val="24"/>
        </w:rPr>
        <w:t xml:space="preserve"> and Acute care hospitals-same facility bases, which are</w:t>
      </w:r>
      <w:r w:rsidR="00290CA3" w:rsidRPr="0059687C">
        <w:rPr>
          <w:rFonts w:ascii="Times New Roman" w:hAnsi="Times New Roman" w:cs="Times New Roman"/>
          <w:sz w:val="24"/>
          <w:szCs w:val="24"/>
        </w:rPr>
        <w:t xml:space="preserve"> based in the United States and Puerto Rico. These are examples of the company's patents and trademarks, which poses the same facility basis. </w:t>
      </w:r>
    </w:p>
    <w:p w14:paraId="384F2015" w14:textId="42E65EC7" w:rsidR="00873230" w:rsidRPr="0059687C" w:rsidRDefault="00F21A57" w:rsidP="0059687C">
      <w:pPr>
        <w:spacing w:line="480" w:lineRule="auto"/>
        <w:ind w:firstLine="720"/>
        <w:rPr>
          <w:rFonts w:ascii="Times New Roman" w:hAnsi="Times New Roman" w:cs="Times New Roman"/>
          <w:sz w:val="24"/>
          <w:szCs w:val="24"/>
        </w:rPr>
      </w:pPr>
      <w:r w:rsidRPr="0059687C">
        <w:rPr>
          <w:rFonts w:ascii="Times New Roman" w:hAnsi="Times New Roman" w:cs="Times New Roman"/>
          <w:sz w:val="24"/>
          <w:szCs w:val="24"/>
        </w:rPr>
        <w:t>Acute care hospitals are v</w:t>
      </w:r>
      <w:r w:rsidRPr="0059687C">
        <w:rPr>
          <w:rFonts w:ascii="Times New Roman" w:hAnsi="Times New Roman" w:cs="Times New Roman"/>
          <w:sz w:val="24"/>
          <w:szCs w:val="24"/>
        </w:rPr>
        <w:t xml:space="preserve">ital to the business operations of the company. Having multiples of health care facilities almost in all estates, the company is not quite ubiquitous, although it's currently working on it. This, therefore, implies that much of its operations in these </w:t>
      </w:r>
      <w:r w:rsidRPr="0059687C">
        <w:rPr>
          <w:rFonts w:ascii="Times New Roman" w:hAnsi="Times New Roman" w:cs="Times New Roman"/>
          <w:sz w:val="24"/>
          <w:szCs w:val="24"/>
        </w:rPr>
        <w:lastRenderedPageBreak/>
        <w:t>esta</w:t>
      </w:r>
      <w:r w:rsidRPr="0059687C">
        <w:rPr>
          <w:rFonts w:ascii="Times New Roman" w:hAnsi="Times New Roman" w:cs="Times New Roman"/>
          <w:sz w:val="24"/>
          <w:szCs w:val="24"/>
        </w:rPr>
        <w:t xml:space="preserve">tes highly rely on Acute Care Hospitals. Being one of the biggest hospital operators for profit in the country, Universal Healthcare Services </w:t>
      </w:r>
      <w:r w:rsidR="00A60592" w:rsidRPr="0059687C">
        <w:rPr>
          <w:rFonts w:ascii="Times New Roman" w:hAnsi="Times New Roman" w:cs="Times New Roman"/>
          <w:sz w:val="24"/>
          <w:szCs w:val="24"/>
        </w:rPr>
        <w:t>leases or owns like twenty-five acute care hospitals had a total of more than 6000 beds majorly in the suburban and rural communities, which facilitates its provision of services and operations. Its system also operates several behavioral health treatment facilities and outpatient centers, which most of them are located around its acute care hospitals to ease the burden of the operations.</w:t>
      </w:r>
    </w:p>
    <w:p w14:paraId="5AAB505C" w14:textId="77777777" w:rsidR="0059687C" w:rsidRDefault="00F21A57" w:rsidP="0059687C">
      <w:pPr>
        <w:spacing w:line="480" w:lineRule="auto"/>
        <w:ind w:firstLine="720"/>
        <w:rPr>
          <w:rFonts w:ascii="Times New Roman" w:hAnsi="Times New Roman" w:cs="Times New Roman"/>
          <w:sz w:val="24"/>
          <w:szCs w:val="24"/>
        </w:rPr>
      </w:pPr>
      <w:r w:rsidRPr="0059687C">
        <w:rPr>
          <w:rFonts w:ascii="Times New Roman" w:hAnsi="Times New Roman" w:cs="Times New Roman"/>
          <w:sz w:val="24"/>
          <w:szCs w:val="24"/>
        </w:rPr>
        <w:t>Approximately there are about nine Universal Healthcare Services Inc facilities that are majorly located in cities such as Corona, Temecula, and Rancho.</w:t>
      </w:r>
      <w:r w:rsidR="000B72B8" w:rsidRPr="0059687C">
        <w:rPr>
          <w:rFonts w:ascii="Times New Roman" w:hAnsi="Times New Roman" w:cs="Times New Roman"/>
          <w:sz w:val="24"/>
          <w:szCs w:val="24"/>
        </w:rPr>
        <w:t xml:space="preserve"> Like any other </w:t>
      </w:r>
      <w:r w:rsidR="0013672C" w:rsidRPr="0059687C">
        <w:rPr>
          <w:rFonts w:ascii="Times New Roman" w:hAnsi="Times New Roman" w:cs="Times New Roman"/>
          <w:sz w:val="24"/>
          <w:szCs w:val="24"/>
        </w:rPr>
        <w:t xml:space="preserve">healthcare services provider, the company is affected by various risks that affect its operations and businesses. Some of the significant risk factors that affect the company include the results and revenues of its operations being significantly influenced by the received payments from the government and other payers under third-party payers. The company derives most of its revenues from the government programs, including the Medicaid and Medicare programs. Recently, the government has changed these programs, which have led to difficulties in reimbursement and reduced reimbursement levels in some areas for healthcare services. State and Federal governments payment programs are subject to regulatory and statutory changes, determinations and interpretations, administrative rulings, utilization review requirements as well as the federal and state funding restrictions, which all might materially decrease or increase </w:t>
      </w:r>
      <w:r w:rsidR="009B3138" w:rsidRPr="0059687C">
        <w:rPr>
          <w:rFonts w:ascii="Times New Roman" w:hAnsi="Times New Roman" w:cs="Times New Roman"/>
          <w:sz w:val="24"/>
          <w:szCs w:val="24"/>
        </w:rPr>
        <w:t>the payment programs and also have effects on the cost of service provision to patients and payment timing to facilities. The second risk factor is the changes and reductions in Medicaid and Medicare funding, which can result in material adverse effects on the operations' future outcomes of the company. This also includes the uncertainties the company is subjected to concerning reforms in health care.</w:t>
      </w:r>
      <w:r w:rsidR="00426F8F" w:rsidRPr="0059687C">
        <w:rPr>
          <w:rFonts w:ascii="Times New Roman" w:hAnsi="Times New Roman" w:cs="Times New Roman"/>
          <w:sz w:val="24"/>
          <w:szCs w:val="24"/>
        </w:rPr>
        <w:t xml:space="preserve"> </w:t>
      </w:r>
    </w:p>
    <w:p w14:paraId="1ACEDB6D" w14:textId="56B0E0C2" w:rsidR="00A60592" w:rsidRPr="0059687C" w:rsidRDefault="00426F8F" w:rsidP="0059687C">
      <w:pPr>
        <w:spacing w:line="480" w:lineRule="auto"/>
        <w:ind w:firstLine="720"/>
        <w:rPr>
          <w:rFonts w:ascii="Times New Roman" w:hAnsi="Times New Roman" w:cs="Times New Roman"/>
          <w:sz w:val="24"/>
          <w:szCs w:val="24"/>
        </w:rPr>
      </w:pPr>
      <w:r w:rsidRPr="0059687C">
        <w:rPr>
          <w:rFonts w:ascii="Times New Roman" w:hAnsi="Times New Roman" w:cs="Times New Roman"/>
          <w:sz w:val="24"/>
          <w:szCs w:val="24"/>
        </w:rPr>
        <w:lastRenderedPageBreak/>
        <w:t xml:space="preserve">In 2019, the company’s attributable net income was $472.5 million or $5.23 per diluted share in the first six months of 2019. The company recorded a comprehensive net income in 2019, where the highest amount in the particular year was $569.7 million or $6.35 per diluted share, which was experienced in October. </w:t>
      </w:r>
      <w:r w:rsidR="007B7B14" w:rsidRPr="0059687C">
        <w:rPr>
          <w:rFonts w:ascii="Times New Roman" w:hAnsi="Times New Roman" w:cs="Times New Roman"/>
          <w:sz w:val="24"/>
          <w:szCs w:val="24"/>
        </w:rPr>
        <w:t>Having the information on the rising amount to the investor is essential for decision making. The investor is provided with better ideas and decisions, as well as the areas that are doing excellent compared to the others. This will assist him in his decision making in deciding where to put more emphasis. KPMG LLP conducts the company's pu</w:t>
      </w:r>
      <w:r w:rsidR="004C13C8" w:rsidRPr="0059687C">
        <w:rPr>
          <w:rFonts w:ascii="Times New Roman" w:hAnsi="Times New Roman" w:cs="Times New Roman"/>
          <w:sz w:val="24"/>
          <w:szCs w:val="24"/>
        </w:rPr>
        <w:t>blic accounting as its independent public accounts. The firm has been accounting for UHS company for eighteen years as it was appointed on 6</w:t>
      </w:r>
      <w:r w:rsidR="004C13C8" w:rsidRPr="0059687C">
        <w:rPr>
          <w:rFonts w:ascii="Times New Roman" w:hAnsi="Times New Roman" w:cs="Times New Roman"/>
          <w:sz w:val="24"/>
          <w:szCs w:val="24"/>
          <w:vertAlign w:val="superscript"/>
        </w:rPr>
        <w:t>th</w:t>
      </w:r>
      <w:r w:rsidR="004C13C8" w:rsidRPr="0059687C">
        <w:rPr>
          <w:rFonts w:ascii="Times New Roman" w:hAnsi="Times New Roman" w:cs="Times New Roman"/>
          <w:sz w:val="24"/>
          <w:szCs w:val="24"/>
        </w:rPr>
        <w:t xml:space="preserve"> June 2002. In 2019, UHS was more efficient in using its assets for profit generation. </w:t>
      </w:r>
    </w:p>
    <w:sectPr w:rsidR="00A60592" w:rsidRPr="0059687C" w:rsidSect="005968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3FDC" w14:textId="77777777" w:rsidR="00F21A57" w:rsidRDefault="00F21A57" w:rsidP="0059687C">
      <w:pPr>
        <w:spacing w:after="0" w:line="240" w:lineRule="auto"/>
      </w:pPr>
      <w:r>
        <w:separator/>
      </w:r>
    </w:p>
  </w:endnote>
  <w:endnote w:type="continuationSeparator" w:id="0">
    <w:p w14:paraId="2F0ABF53" w14:textId="77777777" w:rsidR="00F21A57" w:rsidRDefault="00F21A57" w:rsidP="00596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DCFD12" w14:textId="77777777" w:rsidR="00F21A57" w:rsidRDefault="00F21A57" w:rsidP="0059687C">
      <w:pPr>
        <w:spacing w:after="0" w:line="240" w:lineRule="auto"/>
      </w:pPr>
      <w:r>
        <w:separator/>
      </w:r>
    </w:p>
  </w:footnote>
  <w:footnote w:type="continuationSeparator" w:id="0">
    <w:p w14:paraId="393FB9A8" w14:textId="77777777" w:rsidR="00F21A57" w:rsidRDefault="00F21A57" w:rsidP="00596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0513629"/>
      <w:docPartObj>
        <w:docPartGallery w:val="Page Numbers (Top of Page)"/>
        <w:docPartUnique/>
      </w:docPartObj>
    </w:sdtPr>
    <w:sdtEndPr>
      <w:rPr>
        <w:noProof/>
      </w:rPr>
    </w:sdtEndPr>
    <w:sdtContent>
      <w:p w14:paraId="642BC148" w14:textId="6B4B0058" w:rsidR="0059687C" w:rsidRDefault="005968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EA61766" w14:textId="23FBA895" w:rsidR="0059687C" w:rsidRPr="0059687C" w:rsidRDefault="0059687C">
    <w:pPr>
      <w:pStyle w:val="Header"/>
      <w:rPr>
        <w:rFonts w:ascii="Times New Roman" w:hAnsi="Times New Roman" w:cs="Times New Roman"/>
        <w:sz w:val="24"/>
        <w:szCs w:val="24"/>
      </w:rPr>
    </w:pPr>
    <w:r w:rsidRPr="0059687C">
      <w:rPr>
        <w:rFonts w:ascii="Times New Roman" w:hAnsi="Times New Roman" w:cs="Times New Roman"/>
        <w:sz w:val="24"/>
        <w:szCs w:val="24"/>
      </w:rPr>
      <w:t>UNIVERSAL HEALTHCARE SERVICES, INC.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9378560"/>
      <w:docPartObj>
        <w:docPartGallery w:val="Page Numbers (Top of Page)"/>
        <w:docPartUnique/>
      </w:docPartObj>
    </w:sdtPr>
    <w:sdtEndPr>
      <w:rPr>
        <w:noProof/>
      </w:rPr>
    </w:sdtEndPr>
    <w:sdtContent>
      <w:p w14:paraId="255CB3D3" w14:textId="65DBE3E5" w:rsidR="0059687C" w:rsidRDefault="005968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7A61BE0" w14:textId="003C1869" w:rsidR="0059687C" w:rsidRPr="0059687C" w:rsidRDefault="0059687C">
    <w:pPr>
      <w:pStyle w:val="Header"/>
      <w:rPr>
        <w:rFonts w:ascii="Times New Roman" w:hAnsi="Times New Roman" w:cs="Times New Roman"/>
        <w:sz w:val="24"/>
        <w:szCs w:val="24"/>
      </w:rPr>
    </w:pPr>
    <w:r w:rsidRPr="0059687C">
      <w:rPr>
        <w:rFonts w:ascii="Times New Roman" w:hAnsi="Times New Roman" w:cs="Times New Roman"/>
        <w:sz w:val="24"/>
        <w:szCs w:val="24"/>
      </w:rPr>
      <w:t xml:space="preserve">Running Head: </w:t>
    </w:r>
    <w:bookmarkStart w:id="0" w:name="_Hlk55084788"/>
    <w:r w:rsidRPr="0059687C">
      <w:rPr>
        <w:rFonts w:ascii="Times New Roman" w:hAnsi="Times New Roman" w:cs="Times New Roman"/>
        <w:sz w:val="24"/>
        <w:szCs w:val="24"/>
      </w:rPr>
      <w:t>UNIVERSAL HEALTHCARE SERVICES, INC.</w:t>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62"/>
    <w:rsid w:val="000B72B8"/>
    <w:rsid w:val="0013672C"/>
    <w:rsid w:val="001605AA"/>
    <w:rsid w:val="001E5045"/>
    <w:rsid w:val="001F5962"/>
    <w:rsid w:val="00284A4E"/>
    <w:rsid w:val="00290CA3"/>
    <w:rsid w:val="00426F8F"/>
    <w:rsid w:val="004C13C8"/>
    <w:rsid w:val="0059687C"/>
    <w:rsid w:val="005B3ED6"/>
    <w:rsid w:val="005E74E0"/>
    <w:rsid w:val="00683881"/>
    <w:rsid w:val="006D2651"/>
    <w:rsid w:val="006F7A38"/>
    <w:rsid w:val="007462E5"/>
    <w:rsid w:val="007B7B14"/>
    <w:rsid w:val="00873230"/>
    <w:rsid w:val="009B3138"/>
    <w:rsid w:val="00A60592"/>
    <w:rsid w:val="00DD55D7"/>
    <w:rsid w:val="00F21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27B5A"/>
  <w15:chartTrackingRefBased/>
  <w15:docId w15:val="{5621A332-5681-4701-9F58-3D50E8272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8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87C"/>
  </w:style>
  <w:style w:type="paragraph" w:styleId="Footer">
    <w:name w:val="footer"/>
    <w:basedOn w:val="Normal"/>
    <w:link w:val="FooterChar"/>
    <w:uiPriority w:val="99"/>
    <w:unhideWhenUsed/>
    <w:rsid w:val="005968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2020-10-31T22:02:00Z</dcterms:created>
  <dcterms:modified xsi:type="dcterms:W3CDTF">2020-10-31T22:02:00Z</dcterms:modified>
</cp:coreProperties>
</file>